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277</w:t>
      </w:r>
    </w:p>
    <w:p>
      <w:r>
        <w:t>Bundesgericht (BGE), 1994-03-30, DE</w:t>
      </w:r>
    </w:p>
    <w:p>
      <w:r>
        <w:rPr>
          <w:b/>
        </w:rPr>
        <w:t xml:space="preserve">Quelle: </w:t>
      </w:r>
      <w:r>
        <w:t>https://mcp.opencaselaw.ch/entscheid/bge_120 V 277</w:t>
      </w:r>
    </w:p>
    <w:p>
      <w:r>
        <w:t>FR: ATF 120 V 277</w:t>
      </w:r>
    </w:p>
    <w:p>
      <w:r>
        <w:t>IT: DTF 120 V 277</w:t>
      </w:r>
    </w:p>
    <w:p>
      <w:pPr>
        <w:pStyle w:val="Heading2"/>
      </w:pPr>
      <w:r>
        <w:t>Regeste</w:t>
      </w:r>
    </w:p>
    <w:p>
      <w:r>
        <w:t>Regeste Art. 13 IVG, Art. 12 Abs. 1 und Art. 21 Abs. 1 Satz 2 IVG. Ein Anspruch auf Übernahme der Behandlung von Geburtsgebrechen über das vollendete 20. Altersjahr hinaus kann auch nicht gestützt auf die Rechtsfigur der Austauschbefugnis begründet werden.</w:t>
      </w:r>
    </w:p>
    <w:p>
      <w:pPr>
        <w:pStyle w:val="Heading2"/>
      </w:pPr>
      <w:r>
        <w:t>Erwägungen</w:t>
      </w:r>
    </w:p>
    <w:p>
      <w:r>
        <w:rPr>
          <w:b/>
        </w:rPr>
        <w:t>E. 1</w:t>
      </w:r>
    </w:p>
    <w:p>
      <w:r>
        <w:t>(Kognition)</w:t>
      </w:r>
    </w:p>
    <w:p>
      <w:r>
        <w:rPr>
          <w:b/>
        </w:rPr>
        <w:t>E. 2</w:t>
      </w:r>
    </w:p>
    <w:p>
      <w:r>
        <w:t>Nach Art. 13 IVG haben minderjährige Versicherte Anspruch auf die zur Behandlung von Geburtsgebrechen notwendigen medizinischen Massnahmen (Abs. 1). Der Bundesrat bezeichnet die Gebrechen, für welche diese Massnahmen gewährt werden; er kann die Leistungen ausschliessen, wenn das Gebrechen von geringfügiger Bedeutung ist (Abs. 2). Gestützt auf die Delegationskompetenz von Art. 13 Abs. 2 IVG hat der Bundesrat die Verordnung über Geburtsgebrechen (GgV) erlassen. Gemäss Art. 3 GgV erlischt der Anspruch auf Behandlung eines Geburtsgebrechens am Ende des Monats, in dem der Versicherte das 20. Altersjahr zurückgelegt hat, selbst wenn eine vor diesem Zeitpunkt begonnene Massnahme fortgeführt wird. Das Eidg. Versicherungsgericht ist in seiner Rechtsprechung stets BGE 120 V 277 S. 279 ausdrücklich von der Gesetzmässigkeit der absoluten Begrenzung des Anspruchs auf den Zeitpunkt der Volljährigkeit ausgegangen (ZAK 1990 S. 476 mit Hinweisen). Im erwähnten Urteil hat es sodann erwogen, dass keine unechte Gesetzeslücke vorliege, welche ausnahmsweise richterlich zu schliessen wäre. An dieser Rechtsprechung ist festzuhalten. Sowohl bei der Privilegierung der Geburtsinvaliden im Sinne der Gewährung von Leistungen unabhängig von der Möglichkeit einer Eingliederung in das Erwerbsleben ( Art. 8 Abs. 2 IVG ; BGE 98 V 37 Erw. 2a) als auch bei der Begrenzung dieser bevorzugten Rechtsstellung auf Minderjährige handelt es sich um gesetzgeberische Grundentscheidungen, welche seitens des Richters hinzunehmen sind. Der Beschwerdeführer kann demzufolge über den 31. Januar 1992 hinaus keine medizinische Massnahmen gestützt auf Art. 13 IVG beanspruchen.</w:t>
      </w:r>
    </w:p>
    <w:p>
      <w:r>
        <w:rPr>
          <w:b/>
        </w:rPr>
        <w:t>E. 3</w:t>
      </w:r>
    </w:p>
    <w:p>
      <w:r>
        <w:t>a) Zu prüfen ist weiter, ob die Voraussetzungen für eine Kostenübernahme unter dem Gesichtspunkt von Art. 12 IVG erfüllt sind. Nach dieser Bestimmung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pathologischen Geschehens. 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 BGE 115 V 194 f. Erw. 3, BGE 112 V 349 Erw. 2, BGE 105 V 19 und 149 Erw. 2a, BGE 104 V 82 Erw. 1). b) Vorliegend fehlt es an der erforderlichen qualifizierten Eingliederungswirksamkeit im Sinne von Art. 12 IVG der in Frage stehenden Vorkehr. Die Anomalie des Beschwerdeführers ist nicht derart ausgeprägt, dass sie prognostisch gesehen eine rechtserhebliche Beeinträchtigung der Erwerbsfähigkeit - welche am allgemeinen Arbeitsmarkt zu messen ist (ZAK 1983 S. 446 Erw. 1b) - zu bewirken vermöchte. So enthalten denn auch weder die Parteivorbringen noch die Akten abklärungsbedürftige Hinweise dafür, dass der Beschwerdeführer wegen des Fehlens von sechs bleibenden hinteren Zähnen (5 4 + 4 5 und 5 - 5) erwerblich wesentlich beeinträchtigt bzw. bei BGE 120 V 277 S. 280 der Stellensuche benachteiligt wäre. Daraus folgt, dass ein Anspruch gestützt auf Art. 12 IVG ebenfalls ausscheidet.</w:t>
      </w:r>
    </w:p>
    <w:p>
      <w:r>
        <w:rPr>
          <w:b/>
        </w:rPr>
        <w:t>E. 4</w:t>
      </w:r>
    </w:p>
    <w:p>
      <w:r>
        <w:t>Aufgrund der Angaben im Bericht des Dr. N. vom 9. Dezember 1991 stellt sich indes die auch vom BSV aufgeworfene Frage, ob die anbegehrten Leistungen gestützt auf die von Rechtsprechung und Lehre anerkannte Rechtsfigur der Austauschbefugnis ( BGE 111 V 215 und 213 Erw. 2b; ZAK 1986 S. 527 Erw. 3a; nicht publizierte Urteile K. vom 5. August 1993 und S. vom 22. März 1989; MEYER-BLASER, Zum Verhältnismässigkeitsgrundsatz im staatlichen Leistungsrecht, Diss. Bern 1985, S. 87 ff.; vgl. auch Art. 2 Abs. 5 HVI ) zuzusprechen sind. Diese Voraussetzungen sind im vorliegenden Fall nicht erfüllt, weil der Beschwerdeführer nach dem vollendeten 20. Altersjahr keinerlei Anspruch auf medizinische Massnahmen aus Geburtsgebrechen mehr hat (Erw. 2), so dass es an einem substitutionsfähigen Rechtsanspruch im Sinne der vom BSV erwähnten Rechtspraxis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